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5D4506ED" w14:textId="4142D70D" w:rsidR="00BA32A4" w:rsidRPr="00822CFE" w:rsidRDefault="00FE5360" w:rsidP="00822CFE">
      <w:pPr>
        <w:pStyle w:val="Heading1"/>
      </w:pPr>
      <w:r w:rsidRPr="00822CFE">
        <w:t>Proficiency Testing</w:t>
      </w:r>
    </w:p>
    <w:p w14:paraId="6DECCCE9" w14:textId="61CECE61" w:rsidR="00380774" w:rsidRPr="0087734D" w:rsidRDefault="00BA32A4" w:rsidP="00BA32A4">
      <w:pPr>
        <w:jc w:val="center"/>
        <w:outlineLvl w:val="0"/>
        <w:rPr>
          <w:color w:val="00A0AF"/>
          <w:sz w:val="34"/>
          <w:szCs w:val="34"/>
        </w:rPr>
      </w:pPr>
      <w:r w:rsidRPr="00BA32A4">
        <w:rPr>
          <w:color w:val="00A0AF"/>
          <w:sz w:val="40"/>
          <w:szCs w:val="40"/>
        </w:rPr>
        <w:t>Quiz</w:t>
      </w:r>
      <w:bookmarkStart w:id="0" w:name="_GoBack"/>
      <w:bookmarkEnd w:id="0"/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1957D0C1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760C68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58F03296" w:rsidR="00F840CC" w:rsidRPr="003A661C" w:rsidRDefault="009531AA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Proficiency testing must always be performed for monitoring the validity of tests</w:t>
            </w:r>
            <w:r w:rsidR="005909C5" w:rsidRPr="005909C5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F840CC" w:rsidRPr="003A66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11D1805B" w:rsidR="00F840CC" w:rsidRPr="003A661C" w:rsidRDefault="009531AA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There are alternatives to proficiency testing when external PT are not available</w:t>
            </w:r>
            <w:r w:rsidR="003A661C" w:rsidRPr="003A661C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F840CC" w:rsidRPr="003A66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2D35F10F" w:rsidR="00F840CC" w:rsidRPr="003A661C" w:rsidRDefault="009531AA" w:rsidP="00760C68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Inter-laboratory comparisons must be performed by 12 laboratories</w:t>
            </w:r>
            <w:r w:rsidR="003A661C" w:rsidRPr="003A661C">
              <w:rPr>
                <w:sz w:val="20"/>
                <w:szCs w:val="20"/>
              </w:rPr>
              <w:t>.</w:t>
            </w:r>
            <w:r w:rsidR="00F840CC" w:rsidRPr="003A661C">
              <w:rPr>
                <w:sz w:val="20"/>
                <w:szCs w:val="20"/>
              </w:rPr>
              <w:t xml:space="preserve">  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3A661C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096DA9AA" w:rsidR="003A661C" w:rsidRPr="009531AA" w:rsidRDefault="009531AA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9531AA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 xml:space="preserve">Accrediting bodies may have their own guidance in place for proficiency testing. </w:t>
            </w:r>
          </w:p>
        </w:tc>
      </w:tr>
    </w:tbl>
    <w:p w14:paraId="590CE564" w14:textId="77777777" w:rsidR="00F840CC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</w:p>
    <w:p w14:paraId="2CFA29F5" w14:textId="4F1290BC" w:rsidR="00F840CC" w:rsidRPr="000B34FF" w:rsidRDefault="00D85408" w:rsidP="009531AA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:</w:t>
      </w:r>
      <w:r w:rsidR="0057602B">
        <w:rPr>
          <w:rFonts w:ascii="Franklin Gothic Book" w:hAnsi="Franklin Gothic Book"/>
          <w:sz w:val="20"/>
          <w:szCs w:val="20"/>
        </w:rPr>
        <w:t xml:space="preserve"> </w:t>
      </w:r>
      <w:r w:rsidR="009531AA">
        <w:rPr>
          <w:rFonts w:ascii="Franklin Gothic Book" w:hAnsi="Franklin Gothic Book"/>
          <w:sz w:val="20"/>
          <w:szCs w:val="20"/>
        </w:rPr>
        <w:t xml:space="preserve">Acceptable alternative to proficiency testing include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518"/>
        <w:gridCol w:w="2518"/>
      </w:tblGrid>
      <w:tr w:rsidR="00A419EF" w:rsidRPr="00321A17" w14:paraId="2EDC0D2C" w14:textId="77777777" w:rsidTr="004859B3">
        <w:tc>
          <w:tcPr>
            <w:tcW w:w="2517" w:type="dxa"/>
          </w:tcPr>
          <w:p w14:paraId="14D8536F" w14:textId="0023A9FC" w:rsidR="00A419EF" w:rsidRPr="00321A17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21A17">
              <w:rPr>
                <w:color w:val="auto"/>
                <w:sz w:val="20"/>
                <w:szCs w:val="20"/>
              </w:rPr>
              <w:t>A</w:t>
            </w:r>
            <w:r w:rsidR="007A60CC" w:rsidRPr="00321A17">
              <w:rPr>
                <w:color w:val="auto"/>
                <w:sz w:val="20"/>
                <w:szCs w:val="20"/>
              </w:rPr>
              <w:t xml:space="preserve">. </w:t>
            </w:r>
            <w:r w:rsidR="009531AA" w:rsidRPr="00321A17">
              <w:rPr>
                <w:color w:val="auto"/>
                <w:sz w:val="20"/>
                <w:szCs w:val="20"/>
              </w:rPr>
              <w:t>Use of Certified Reference Material</w:t>
            </w:r>
          </w:p>
        </w:tc>
        <w:tc>
          <w:tcPr>
            <w:tcW w:w="2517" w:type="dxa"/>
          </w:tcPr>
          <w:p w14:paraId="4A058C29" w14:textId="0B41441D" w:rsidR="00A419EF" w:rsidRPr="00321A17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21A17">
              <w:rPr>
                <w:color w:val="auto"/>
                <w:sz w:val="20"/>
                <w:szCs w:val="20"/>
              </w:rPr>
              <w:t>B</w:t>
            </w:r>
            <w:r w:rsidR="007A60CC" w:rsidRPr="00321A17">
              <w:rPr>
                <w:color w:val="auto"/>
                <w:sz w:val="20"/>
                <w:szCs w:val="20"/>
              </w:rPr>
              <w:t xml:space="preserve">. </w:t>
            </w:r>
            <w:r w:rsidR="009531AA" w:rsidRPr="00321A17">
              <w:rPr>
                <w:color w:val="auto"/>
                <w:sz w:val="20"/>
                <w:szCs w:val="20"/>
              </w:rPr>
              <w:t>Participation in a round robin</w:t>
            </w:r>
          </w:p>
        </w:tc>
        <w:tc>
          <w:tcPr>
            <w:tcW w:w="2518" w:type="dxa"/>
          </w:tcPr>
          <w:p w14:paraId="51DEDBA2" w14:textId="05754545" w:rsidR="00A419EF" w:rsidRPr="00321A17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21A17">
              <w:rPr>
                <w:color w:val="auto"/>
                <w:sz w:val="20"/>
                <w:szCs w:val="20"/>
              </w:rPr>
              <w:t>C</w:t>
            </w:r>
            <w:r w:rsidR="007A60CC" w:rsidRPr="00321A17">
              <w:rPr>
                <w:color w:val="auto"/>
                <w:sz w:val="20"/>
                <w:szCs w:val="20"/>
              </w:rPr>
              <w:t xml:space="preserve">. </w:t>
            </w:r>
            <w:r w:rsidR="009531AA" w:rsidRPr="00321A17">
              <w:rPr>
                <w:color w:val="auto"/>
                <w:sz w:val="20"/>
                <w:szCs w:val="20"/>
              </w:rPr>
              <w:t xml:space="preserve">Performance of an </w:t>
            </w:r>
            <w:proofErr w:type="spellStart"/>
            <w:r w:rsidR="009531AA" w:rsidRPr="00321A17">
              <w:rPr>
                <w:color w:val="auto"/>
                <w:sz w:val="20"/>
                <w:szCs w:val="20"/>
              </w:rPr>
              <w:t>itner</w:t>
            </w:r>
            <w:proofErr w:type="spellEnd"/>
            <w:r w:rsidR="009531AA" w:rsidRPr="00321A17">
              <w:rPr>
                <w:color w:val="auto"/>
                <w:sz w:val="20"/>
                <w:szCs w:val="20"/>
              </w:rPr>
              <w:t>-laboratory comparison</w:t>
            </w:r>
          </w:p>
        </w:tc>
        <w:tc>
          <w:tcPr>
            <w:tcW w:w="2518" w:type="dxa"/>
          </w:tcPr>
          <w:p w14:paraId="6D9CAE6A" w14:textId="4F54D7AA" w:rsidR="00A419EF" w:rsidRPr="00321A17" w:rsidRDefault="00742F95" w:rsidP="00742F95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21A17">
              <w:rPr>
                <w:color w:val="auto"/>
                <w:sz w:val="20"/>
                <w:szCs w:val="20"/>
              </w:rPr>
              <w:t xml:space="preserve">D. </w:t>
            </w:r>
            <w:r w:rsidR="009531AA" w:rsidRPr="00321A17">
              <w:rPr>
                <w:color w:val="auto"/>
                <w:sz w:val="20"/>
                <w:szCs w:val="20"/>
              </w:rPr>
              <w:t>A, B &amp; C</w:t>
            </w:r>
          </w:p>
        </w:tc>
      </w:tr>
    </w:tbl>
    <w:p w14:paraId="316F246D" w14:textId="5BA051A8" w:rsidR="00F840CC" w:rsidRPr="00321A17" w:rsidRDefault="00F840CC" w:rsidP="00A419EF">
      <w:pPr>
        <w:rPr>
          <w:color w:val="auto"/>
          <w:sz w:val="20"/>
          <w:szCs w:val="20"/>
        </w:rPr>
      </w:pPr>
    </w:p>
    <w:p w14:paraId="0FD524CB" w14:textId="4AA3642B" w:rsidR="00F840CC" w:rsidRPr="00321A17" w:rsidRDefault="009531AA" w:rsidP="002E551D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r w:rsidRPr="00321A17">
        <w:rPr>
          <w:rFonts w:ascii="Franklin Gothic Book" w:hAnsi="Franklin Gothic Book"/>
          <w:sz w:val="20"/>
          <w:szCs w:val="20"/>
        </w:rPr>
        <w:t>Alternatives to proficiency testing can be performed when</w:t>
      </w:r>
      <w:r w:rsidR="00753531" w:rsidRPr="00321A17">
        <w:rPr>
          <w:rFonts w:ascii="Franklin Gothic Book" w:hAnsi="Franklin Gothic Book"/>
          <w:sz w:val="20"/>
          <w:szCs w:val="20"/>
        </w:rPr>
        <w:t>:</w:t>
      </w:r>
      <w:r w:rsidR="0057602B" w:rsidRPr="00321A17">
        <w:rPr>
          <w:rFonts w:ascii="Franklin Gothic Book" w:hAnsi="Franklin Gothic Book"/>
          <w:b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2610"/>
        <w:gridCol w:w="2155"/>
      </w:tblGrid>
      <w:tr w:rsidR="00A419EF" w:rsidRPr="00321A17" w14:paraId="6A0A7DB9" w14:textId="77777777" w:rsidTr="001F4F67">
        <w:tc>
          <w:tcPr>
            <w:tcW w:w="2610" w:type="dxa"/>
          </w:tcPr>
          <w:p w14:paraId="6AA7C5AF" w14:textId="2B161D48" w:rsidR="00A419EF" w:rsidRPr="00321A17" w:rsidRDefault="00742F95" w:rsidP="007A60C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321A17">
              <w:rPr>
                <w:color w:val="auto"/>
                <w:sz w:val="20"/>
                <w:szCs w:val="20"/>
              </w:rPr>
              <w:t>A</w:t>
            </w:r>
            <w:r w:rsidR="007A60CC" w:rsidRPr="00321A17">
              <w:rPr>
                <w:color w:val="auto"/>
                <w:sz w:val="20"/>
                <w:szCs w:val="20"/>
              </w:rPr>
              <w:t xml:space="preserve">. </w:t>
            </w:r>
            <w:r w:rsidR="007813F3" w:rsidRPr="00321A17">
              <w:rPr>
                <w:color w:val="auto"/>
                <w:sz w:val="20"/>
                <w:szCs w:val="20"/>
              </w:rPr>
              <w:t>A</w:t>
            </w:r>
            <w:r w:rsidR="009531AA" w:rsidRPr="00321A17">
              <w:rPr>
                <w:color w:val="auto"/>
                <w:sz w:val="20"/>
                <w:szCs w:val="20"/>
              </w:rPr>
              <w:t>vailable PTs are determined to be unacceptable for customer analytical requirements</w:t>
            </w:r>
          </w:p>
        </w:tc>
        <w:tc>
          <w:tcPr>
            <w:tcW w:w="2430" w:type="dxa"/>
          </w:tcPr>
          <w:p w14:paraId="4157C66E" w14:textId="1A25A5CB" w:rsidR="00A419EF" w:rsidRPr="00321A17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21A17">
              <w:rPr>
                <w:color w:val="auto"/>
                <w:sz w:val="20"/>
                <w:szCs w:val="20"/>
              </w:rPr>
              <w:t>B</w:t>
            </w:r>
            <w:r w:rsidR="009531AA" w:rsidRPr="00321A17">
              <w:rPr>
                <w:color w:val="auto"/>
                <w:sz w:val="20"/>
                <w:szCs w:val="20"/>
              </w:rPr>
              <w:t>. Even if a PT is not commercially available</w:t>
            </w:r>
          </w:p>
        </w:tc>
        <w:tc>
          <w:tcPr>
            <w:tcW w:w="2610" w:type="dxa"/>
          </w:tcPr>
          <w:p w14:paraId="5F644D77" w14:textId="440987A2" w:rsidR="00A419EF" w:rsidRPr="00321A17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21A17">
              <w:rPr>
                <w:color w:val="auto"/>
                <w:sz w:val="20"/>
                <w:szCs w:val="20"/>
              </w:rPr>
              <w:t>C</w:t>
            </w:r>
            <w:r w:rsidR="00A419EF" w:rsidRPr="00321A17">
              <w:rPr>
                <w:color w:val="auto"/>
                <w:sz w:val="20"/>
                <w:szCs w:val="20"/>
              </w:rPr>
              <w:t xml:space="preserve">. </w:t>
            </w:r>
            <w:r w:rsidR="007813F3" w:rsidRPr="00321A17">
              <w:rPr>
                <w:color w:val="auto"/>
                <w:sz w:val="20"/>
                <w:szCs w:val="20"/>
              </w:rPr>
              <w:t>It is never acceptable to do an alternative to a PT</w:t>
            </w:r>
          </w:p>
        </w:tc>
        <w:tc>
          <w:tcPr>
            <w:tcW w:w="2155" w:type="dxa"/>
          </w:tcPr>
          <w:p w14:paraId="25FCB077" w14:textId="7CBC9079" w:rsidR="00A419EF" w:rsidRPr="00321A17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21A17">
              <w:rPr>
                <w:color w:val="auto"/>
                <w:sz w:val="20"/>
                <w:szCs w:val="20"/>
              </w:rPr>
              <w:t>D</w:t>
            </w:r>
            <w:r w:rsidR="00A419EF" w:rsidRPr="00321A17">
              <w:rPr>
                <w:color w:val="auto"/>
                <w:sz w:val="20"/>
                <w:szCs w:val="20"/>
              </w:rPr>
              <w:t>.</w:t>
            </w:r>
            <w:r w:rsidR="00A419EF" w:rsidRPr="00321A17">
              <w:rPr>
                <w:b/>
                <w:color w:val="auto"/>
                <w:sz w:val="20"/>
                <w:szCs w:val="20"/>
              </w:rPr>
              <w:t xml:space="preserve"> </w:t>
            </w:r>
            <w:r w:rsidR="007813F3" w:rsidRPr="00321A17">
              <w:rPr>
                <w:color w:val="auto"/>
                <w:sz w:val="20"/>
                <w:szCs w:val="20"/>
              </w:rPr>
              <w:t>It is always acceptable to do an alternative to a PT</w:t>
            </w:r>
          </w:p>
        </w:tc>
      </w:tr>
    </w:tbl>
    <w:p w14:paraId="51D4206D" w14:textId="77777777" w:rsidR="00A419EF" w:rsidRPr="00321A17" w:rsidRDefault="00A419EF" w:rsidP="00A419EF">
      <w:pPr>
        <w:pStyle w:val="ListParagraph"/>
        <w:widowControl/>
        <w:spacing w:after="120"/>
        <w:ind w:left="360" w:firstLine="0"/>
        <w:rPr>
          <w:rFonts w:ascii="Franklin Gothic Book" w:hAnsi="Franklin Gothic Book"/>
          <w:sz w:val="20"/>
          <w:szCs w:val="20"/>
        </w:rPr>
      </w:pPr>
    </w:p>
    <w:p w14:paraId="3E10BEF5" w14:textId="7946B2B7" w:rsidR="00F840CC" w:rsidRPr="00321A17" w:rsidRDefault="007813F3" w:rsidP="002E551D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sz w:val="20"/>
          <w:szCs w:val="20"/>
        </w:rPr>
      </w:pPr>
      <w:r w:rsidRPr="00321A17">
        <w:rPr>
          <w:rFonts w:ascii="Franklin Gothic Book" w:hAnsi="Franklin Gothic Book"/>
          <w:sz w:val="20"/>
          <w:szCs w:val="20"/>
        </w:rPr>
        <w:t>Proficiency test providers</w:t>
      </w:r>
      <w:r w:rsidR="00540C1E" w:rsidRPr="00321A17">
        <w:rPr>
          <w:rFonts w:ascii="Franklin Gothic Book" w:hAnsi="Franklin Gothic Book"/>
          <w:sz w:val="20"/>
          <w:szCs w:val="20"/>
        </w:rPr>
        <w:t>:</w:t>
      </w:r>
      <w:r w:rsidR="002E551D" w:rsidRPr="00321A17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613"/>
        <w:gridCol w:w="2520"/>
        <w:gridCol w:w="2155"/>
      </w:tblGrid>
      <w:tr w:rsidR="00321A17" w:rsidRPr="00321A17" w14:paraId="2D6647C3" w14:textId="77777777" w:rsidTr="00753531">
        <w:tc>
          <w:tcPr>
            <w:tcW w:w="2517" w:type="dxa"/>
          </w:tcPr>
          <w:p w14:paraId="3EEE3A67" w14:textId="35E63109" w:rsidR="007A60CC" w:rsidRPr="00321A17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321A17">
              <w:rPr>
                <w:color w:val="auto"/>
                <w:sz w:val="20"/>
                <w:szCs w:val="20"/>
              </w:rPr>
              <w:t>A</w:t>
            </w:r>
            <w:r w:rsidR="00254AF2" w:rsidRPr="00321A17">
              <w:rPr>
                <w:color w:val="auto"/>
                <w:sz w:val="20"/>
                <w:szCs w:val="20"/>
              </w:rPr>
              <w:t>.</w:t>
            </w:r>
            <w:r w:rsidR="002E551D" w:rsidRPr="00321A17">
              <w:rPr>
                <w:color w:val="auto"/>
                <w:sz w:val="20"/>
                <w:szCs w:val="20"/>
              </w:rPr>
              <w:t xml:space="preserve"> </w:t>
            </w:r>
            <w:r w:rsidR="007813F3" w:rsidRPr="00321A17">
              <w:rPr>
                <w:color w:val="auto"/>
                <w:sz w:val="20"/>
                <w:szCs w:val="20"/>
              </w:rPr>
              <w:t>Are always accredited</w:t>
            </w:r>
            <w:r w:rsidR="00753531" w:rsidRPr="00321A17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54436299" w14:textId="0B37C974" w:rsidR="007A60CC" w:rsidRPr="00321A17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21A17">
              <w:rPr>
                <w:color w:val="auto"/>
                <w:sz w:val="20"/>
                <w:szCs w:val="20"/>
              </w:rPr>
              <w:t>B</w:t>
            </w:r>
            <w:r w:rsidR="007A60CC" w:rsidRPr="00321A17">
              <w:rPr>
                <w:color w:val="auto"/>
                <w:sz w:val="20"/>
                <w:szCs w:val="20"/>
              </w:rPr>
              <w:t xml:space="preserve">. </w:t>
            </w:r>
            <w:r w:rsidR="007813F3" w:rsidRPr="00321A17">
              <w:rPr>
                <w:color w:val="auto"/>
                <w:sz w:val="20"/>
                <w:szCs w:val="20"/>
              </w:rPr>
              <w:t>Have all PTs under their scope of accreditation</w:t>
            </w:r>
          </w:p>
        </w:tc>
        <w:tc>
          <w:tcPr>
            <w:tcW w:w="2520" w:type="dxa"/>
          </w:tcPr>
          <w:p w14:paraId="382A77FA" w14:textId="004954A7" w:rsidR="007A60CC" w:rsidRPr="00321A17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321A17">
              <w:rPr>
                <w:color w:val="auto"/>
                <w:sz w:val="20"/>
                <w:szCs w:val="20"/>
              </w:rPr>
              <w:t>C</w:t>
            </w:r>
            <w:r w:rsidR="007A60CC" w:rsidRPr="00321A17">
              <w:rPr>
                <w:color w:val="auto"/>
                <w:sz w:val="20"/>
                <w:szCs w:val="20"/>
              </w:rPr>
              <w:t xml:space="preserve">. </w:t>
            </w:r>
            <w:r w:rsidR="007813F3" w:rsidRPr="00321A17">
              <w:rPr>
                <w:color w:val="auto"/>
                <w:sz w:val="20"/>
                <w:szCs w:val="20"/>
              </w:rPr>
              <w:t>Are always fit for purpose</w:t>
            </w:r>
          </w:p>
        </w:tc>
        <w:tc>
          <w:tcPr>
            <w:tcW w:w="2155" w:type="dxa"/>
          </w:tcPr>
          <w:p w14:paraId="7026745C" w14:textId="500436B7" w:rsidR="007A60CC" w:rsidRPr="00321A17" w:rsidRDefault="00742F95" w:rsidP="00C06C56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321A17">
              <w:rPr>
                <w:color w:val="auto"/>
                <w:sz w:val="20"/>
                <w:szCs w:val="20"/>
              </w:rPr>
              <w:t>D</w:t>
            </w:r>
            <w:r w:rsidR="007A60CC" w:rsidRPr="00321A17">
              <w:rPr>
                <w:color w:val="auto"/>
                <w:sz w:val="20"/>
                <w:szCs w:val="20"/>
              </w:rPr>
              <w:t>.</w:t>
            </w:r>
            <w:r w:rsidR="007A60CC" w:rsidRPr="00321A17">
              <w:rPr>
                <w:b/>
                <w:color w:val="auto"/>
                <w:sz w:val="20"/>
                <w:szCs w:val="20"/>
              </w:rPr>
              <w:t xml:space="preserve"> </w:t>
            </w:r>
            <w:r w:rsidR="007813F3" w:rsidRPr="00321A17">
              <w:rPr>
                <w:color w:val="auto"/>
                <w:sz w:val="20"/>
                <w:szCs w:val="20"/>
              </w:rPr>
              <w:t>None of the responses</w:t>
            </w:r>
          </w:p>
          <w:p w14:paraId="504976FA" w14:textId="69E0CD07" w:rsidR="00FB24D7" w:rsidRPr="00321A17" w:rsidRDefault="00FB24D7" w:rsidP="00C06C56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</w:p>
        </w:tc>
      </w:tr>
    </w:tbl>
    <w:p w14:paraId="067DBD51" w14:textId="64217903" w:rsidR="00994AA6" w:rsidRPr="00740143" w:rsidRDefault="00994AA6" w:rsidP="00740143">
      <w:pPr>
        <w:pStyle w:val="ListParagraph"/>
        <w:widowControl/>
        <w:spacing w:after="120"/>
        <w:ind w:left="900" w:firstLine="0"/>
        <w:rPr>
          <w:rFonts w:ascii="Franklin Gothic Book" w:hAnsi="Franklin Gothic Book"/>
          <w:sz w:val="20"/>
          <w:szCs w:val="20"/>
        </w:rPr>
      </w:pPr>
    </w:p>
    <w:sectPr w:rsidR="00994AA6" w:rsidRPr="0074014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AB0F6" w14:textId="77777777" w:rsidR="004919A6" w:rsidRDefault="004919A6" w:rsidP="00380774">
      <w:r>
        <w:separator/>
      </w:r>
    </w:p>
  </w:endnote>
  <w:endnote w:type="continuationSeparator" w:id="0">
    <w:p w14:paraId="65D85319" w14:textId="77777777" w:rsidR="004919A6" w:rsidRDefault="004919A6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A502E" w14:textId="77777777" w:rsidR="004919A6" w:rsidRDefault="004919A6" w:rsidP="00380774">
      <w:r>
        <w:separator/>
      </w:r>
    </w:p>
  </w:footnote>
  <w:footnote w:type="continuationSeparator" w:id="0">
    <w:p w14:paraId="7E936EA7" w14:textId="77777777" w:rsidR="004919A6" w:rsidRDefault="004919A6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D31A15"/>
    <w:multiLevelType w:val="hybridMultilevel"/>
    <w:tmpl w:val="F59C15BE"/>
    <w:lvl w:ilvl="0" w:tplc="F470EE1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3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13"/>
  </w:num>
  <w:num w:numId="5">
    <w:abstractNumId w:val="7"/>
  </w:num>
  <w:num w:numId="6">
    <w:abstractNumId w:val="1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1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A12CB"/>
    <w:rsid w:val="000B34FF"/>
    <w:rsid w:val="000D5BF7"/>
    <w:rsid w:val="001005C5"/>
    <w:rsid w:val="0011334D"/>
    <w:rsid w:val="00162021"/>
    <w:rsid w:val="00174303"/>
    <w:rsid w:val="001904C3"/>
    <w:rsid w:val="001A5431"/>
    <w:rsid w:val="001A78A9"/>
    <w:rsid w:val="001B7C1B"/>
    <w:rsid w:val="001E57CB"/>
    <w:rsid w:val="001F4F67"/>
    <w:rsid w:val="00212D9E"/>
    <w:rsid w:val="00244C69"/>
    <w:rsid w:val="00247A05"/>
    <w:rsid w:val="00254AF2"/>
    <w:rsid w:val="00267F18"/>
    <w:rsid w:val="002814EE"/>
    <w:rsid w:val="002D40A7"/>
    <w:rsid w:val="002E551D"/>
    <w:rsid w:val="002F5F22"/>
    <w:rsid w:val="00321A17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14E7B"/>
    <w:rsid w:val="00444A6A"/>
    <w:rsid w:val="004859B3"/>
    <w:rsid w:val="004919A6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E56B8"/>
    <w:rsid w:val="00733692"/>
    <w:rsid w:val="00740143"/>
    <w:rsid w:val="00742F95"/>
    <w:rsid w:val="00753531"/>
    <w:rsid w:val="00760C68"/>
    <w:rsid w:val="007813F3"/>
    <w:rsid w:val="007A60CC"/>
    <w:rsid w:val="007F1637"/>
    <w:rsid w:val="007F52FF"/>
    <w:rsid w:val="00812C65"/>
    <w:rsid w:val="00822CFE"/>
    <w:rsid w:val="00825CC4"/>
    <w:rsid w:val="00845F93"/>
    <w:rsid w:val="0087734D"/>
    <w:rsid w:val="00890190"/>
    <w:rsid w:val="00891CD4"/>
    <w:rsid w:val="00925629"/>
    <w:rsid w:val="00940780"/>
    <w:rsid w:val="00943B9A"/>
    <w:rsid w:val="00952635"/>
    <w:rsid w:val="009531AA"/>
    <w:rsid w:val="00961282"/>
    <w:rsid w:val="009647B0"/>
    <w:rsid w:val="00994AA6"/>
    <w:rsid w:val="009A6B8B"/>
    <w:rsid w:val="009A7ACE"/>
    <w:rsid w:val="009C5722"/>
    <w:rsid w:val="009F473C"/>
    <w:rsid w:val="00A23210"/>
    <w:rsid w:val="00A27A94"/>
    <w:rsid w:val="00A419EF"/>
    <w:rsid w:val="00A45E87"/>
    <w:rsid w:val="00A47DFE"/>
    <w:rsid w:val="00A90C10"/>
    <w:rsid w:val="00A93F83"/>
    <w:rsid w:val="00AC7E32"/>
    <w:rsid w:val="00AE6913"/>
    <w:rsid w:val="00B23D83"/>
    <w:rsid w:val="00B354FF"/>
    <w:rsid w:val="00BA0DEE"/>
    <w:rsid w:val="00BA32A4"/>
    <w:rsid w:val="00BA3729"/>
    <w:rsid w:val="00BC2E01"/>
    <w:rsid w:val="00BC4033"/>
    <w:rsid w:val="00C056C2"/>
    <w:rsid w:val="00C102DF"/>
    <w:rsid w:val="00C15092"/>
    <w:rsid w:val="00C16A03"/>
    <w:rsid w:val="00C61196"/>
    <w:rsid w:val="00C85D25"/>
    <w:rsid w:val="00CA39D6"/>
    <w:rsid w:val="00CB6ED2"/>
    <w:rsid w:val="00CD6984"/>
    <w:rsid w:val="00D14B0B"/>
    <w:rsid w:val="00D31150"/>
    <w:rsid w:val="00D40AA6"/>
    <w:rsid w:val="00D537A0"/>
    <w:rsid w:val="00D630F7"/>
    <w:rsid w:val="00D7631D"/>
    <w:rsid w:val="00D85408"/>
    <w:rsid w:val="00D94BDD"/>
    <w:rsid w:val="00DB62B5"/>
    <w:rsid w:val="00DE7485"/>
    <w:rsid w:val="00DF583C"/>
    <w:rsid w:val="00E21A2A"/>
    <w:rsid w:val="00E56FA8"/>
    <w:rsid w:val="00E6443C"/>
    <w:rsid w:val="00F262EC"/>
    <w:rsid w:val="00F57E3F"/>
    <w:rsid w:val="00F67F54"/>
    <w:rsid w:val="00F840CC"/>
    <w:rsid w:val="00FB24D7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822CFE"/>
    <w:pPr>
      <w:widowControl w:val="0"/>
      <w:jc w:val="center"/>
      <w:outlineLvl w:val="0"/>
    </w:pPr>
    <w:rPr>
      <w:rFonts w:ascii="Franklin Gothic Book" w:hAnsi="Franklin Gothic Book"/>
      <w:b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822CFE"/>
    <w:rPr>
      <w:rFonts w:ascii="Franklin Gothic Book" w:hAnsi="Franklin Gothic Book"/>
      <w:b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Q77AU6S3KYZS-4287-193</_dlc_DocId>
    <_dlc_DocIdUrl xmlns="5af08be3-da31-4ed0-bd15-c2f68cc29029">
      <Url>https://www.aphlweb.org/aphl_departments/FS/dfsr/iso17025/_layouts/15/DocIdRedir.aspx?ID=Q77AU6S3KYZS-4287-193</Url>
      <Description>Q77AU6S3KYZS-4287-193</Description>
    </_dlc_DocIdUrl>
    <Module xmlns="fa1fb52d-8fe2-4f49-9882-b9b989e07643">08. Proficiency testing</Module>
    <Final xmlns="fa1fb52d-8fe2-4f49-9882-b9b989e07643">Ready for Production</Fina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75C15FE-2E6D-4253-B62B-235D878B4086}"/>
</file>

<file path=customXml/itemProps2.xml><?xml version="1.0" encoding="utf-8"?>
<ds:datastoreItem xmlns:ds="http://schemas.openxmlformats.org/officeDocument/2006/customXml" ds:itemID="{0825E990-E8EF-4D8E-BAFB-32C7F5D2C081}"/>
</file>

<file path=customXml/itemProps3.xml><?xml version="1.0" encoding="utf-8"?>
<ds:datastoreItem xmlns:ds="http://schemas.openxmlformats.org/officeDocument/2006/customXml" ds:itemID="{A77771D9-4BEA-4E8F-8F96-830BFD153B4A}"/>
</file>

<file path=customXml/itemProps4.xml><?xml version="1.0" encoding="utf-8"?>
<ds:datastoreItem xmlns:ds="http://schemas.openxmlformats.org/officeDocument/2006/customXml" ds:itemID="{4AF6CF20-6A05-4CAC-9FDE-20A61456EE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3</cp:revision>
  <cp:lastPrinted>2016-11-30T15:45:00Z</cp:lastPrinted>
  <dcterms:created xsi:type="dcterms:W3CDTF">2017-04-17T23:07:00Z</dcterms:created>
  <dcterms:modified xsi:type="dcterms:W3CDTF">2017-04-17T23:09:00Z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3ee2849a-5337-48f2-ab9b-d40515c5df45</vt:lpwstr>
  </property>
</Properties>
</file>